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E0072" w14:textId="77777777" w:rsidR="001E5A79" w:rsidRDefault="001E5A79" w:rsidP="001E5A79">
      <w:pPr>
        <w:pStyle w:val="Heading1"/>
        <w:numPr>
          <w:ilvl w:val="0"/>
          <w:numId w:val="0"/>
        </w:numPr>
      </w:pPr>
      <w:bookmarkStart w:id="0" w:name="_Toc514352152"/>
    </w:p>
    <w:p w14:paraId="085CD432" w14:textId="6BD5AEC1" w:rsidR="001E5A79" w:rsidRDefault="001E5A79" w:rsidP="001E5A79">
      <w:pPr>
        <w:pStyle w:val="Heading1"/>
        <w:numPr>
          <w:ilvl w:val="0"/>
          <w:numId w:val="0"/>
        </w:numPr>
      </w:pPr>
      <w:r>
        <w:t>Works Information</w:t>
      </w:r>
    </w:p>
    <w:p w14:paraId="686C9E55" w14:textId="77777777" w:rsidR="001E5A79" w:rsidRDefault="001E5A79" w:rsidP="001E5A79">
      <w:pPr>
        <w:pStyle w:val="Heading1"/>
        <w:numPr>
          <w:ilvl w:val="0"/>
          <w:numId w:val="0"/>
        </w:numPr>
      </w:pPr>
    </w:p>
    <w:p w14:paraId="1F228AEA" w14:textId="2B6CCF63" w:rsidR="00F14FF3" w:rsidRPr="00890C57" w:rsidRDefault="00F14FF3" w:rsidP="001E5A79">
      <w:pPr>
        <w:pStyle w:val="Heading1"/>
        <w:numPr>
          <w:ilvl w:val="0"/>
          <w:numId w:val="3"/>
        </w:numPr>
      </w:pPr>
      <w:r w:rsidRPr="00890C57">
        <w:t>General requirements</w:t>
      </w:r>
      <w:bookmarkEnd w:id="0"/>
    </w:p>
    <w:p w14:paraId="0B3805A8" w14:textId="77777777" w:rsidR="00F14FF3" w:rsidRPr="00890C57" w:rsidRDefault="00F14FF3" w:rsidP="00F14FF3">
      <w:r w:rsidRPr="00890C57">
        <w:t xml:space="preserve">This section describes the general requirements </w:t>
      </w:r>
      <w:r>
        <w:t>related to delivering these works at The Pirbright Site.</w:t>
      </w:r>
    </w:p>
    <w:p w14:paraId="7F3DBEEA" w14:textId="77777777" w:rsidR="00F14FF3" w:rsidRPr="00890C57" w:rsidRDefault="00F14FF3" w:rsidP="00F14FF3"/>
    <w:p w14:paraId="7ED222BF" w14:textId="77777777" w:rsidR="00F14FF3" w:rsidRPr="00890C57" w:rsidRDefault="00F14FF3" w:rsidP="00F14FF3">
      <w:pPr>
        <w:pStyle w:val="Heading2"/>
      </w:pPr>
      <w:bookmarkStart w:id="1" w:name="_Toc514352153"/>
      <w:r w:rsidRPr="00890C57">
        <w:t>Health &amp; Safety Requirements</w:t>
      </w:r>
      <w:bookmarkEnd w:id="1"/>
    </w:p>
    <w:p w14:paraId="5E8BF072" w14:textId="77777777" w:rsidR="00F14FF3" w:rsidRDefault="00F14FF3" w:rsidP="00F14FF3">
      <w:r w:rsidRPr="00890C57">
        <w:t xml:space="preserve">All works </w:t>
      </w:r>
      <w:r>
        <w:t xml:space="preserve">related to this specification </w:t>
      </w:r>
      <w:r w:rsidRPr="00890C57">
        <w:t>should be performed in line with site Health &amp; Safety (H&amp;S) rules and the health and safety at work act 1974.</w:t>
      </w:r>
    </w:p>
    <w:p w14:paraId="39943761" w14:textId="77777777" w:rsidR="00F14FF3" w:rsidRDefault="00F14FF3" w:rsidP="00F14FF3">
      <w:r>
        <w:t>The following documents are attached in Appendix A detail / summarise the site rules that need to be taken in to account when tendering and when works are performed on site:</w:t>
      </w:r>
    </w:p>
    <w:p w14:paraId="061D68A5" w14:textId="77777777" w:rsidR="00F14FF3" w:rsidRPr="001B7E54" w:rsidRDefault="00F14FF3" w:rsidP="00F14FF3">
      <w:pPr>
        <w:pStyle w:val="ListParagraph"/>
        <w:numPr>
          <w:ilvl w:val="0"/>
          <w:numId w:val="2"/>
        </w:numPr>
        <w:rPr>
          <w:rFonts w:ascii="Arial" w:hAnsi="Arial" w:cs="Arial"/>
          <w:sz w:val="20"/>
          <w:szCs w:val="20"/>
        </w:rPr>
      </w:pPr>
      <w:r w:rsidRPr="001B7E54">
        <w:rPr>
          <w:rFonts w:ascii="Arial" w:hAnsi="Arial" w:cs="Arial"/>
          <w:sz w:val="20"/>
          <w:szCs w:val="20"/>
        </w:rPr>
        <w:t>R</w:t>
      </w:r>
      <w:r>
        <w:rPr>
          <w:rFonts w:ascii="Arial" w:hAnsi="Arial" w:cs="Arial"/>
          <w:sz w:val="20"/>
          <w:szCs w:val="20"/>
        </w:rPr>
        <w:t>ISK</w:t>
      </w:r>
      <w:r w:rsidRPr="001B7E54">
        <w:rPr>
          <w:rFonts w:ascii="Arial" w:hAnsi="Arial" w:cs="Arial"/>
          <w:sz w:val="20"/>
          <w:szCs w:val="20"/>
        </w:rPr>
        <w:t>-COP-3: Approved Contractor Site handbook</w:t>
      </w:r>
    </w:p>
    <w:p w14:paraId="314444B4" w14:textId="77777777" w:rsidR="00F14FF3" w:rsidRPr="001B7E54" w:rsidRDefault="00F14FF3" w:rsidP="00F14FF3">
      <w:pPr>
        <w:pStyle w:val="ListParagraph"/>
        <w:numPr>
          <w:ilvl w:val="0"/>
          <w:numId w:val="2"/>
        </w:numPr>
        <w:rPr>
          <w:rFonts w:ascii="Arial" w:hAnsi="Arial" w:cs="Arial"/>
          <w:sz w:val="20"/>
          <w:szCs w:val="20"/>
        </w:rPr>
      </w:pPr>
      <w:r w:rsidRPr="001B7E54">
        <w:rPr>
          <w:rFonts w:ascii="Arial" w:hAnsi="Arial" w:cs="Arial"/>
          <w:sz w:val="20"/>
          <w:szCs w:val="20"/>
        </w:rPr>
        <w:t>R</w:t>
      </w:r>
      <w:r>
        <w:rPr>
          <w:rFonts w:ascii="Arial" w:hAnsi="Arial" w:cs="Arial"/>
          <w:sz w:val="20"/>
          <w:szCs w:val="20"/>
        </w:rPr>
        <w:t>ISK</w:t>
      </w:r>
      <w:r w:rsidRPr="001B7E54">
        <w:rPr>
          <w:rFonts w:ascii="Arial" w:hAnsi="Arial" w:cs="Arial"/>
          <w:sz w:val="20"/>
          <w:szCs w:val="20"/>
        </w:rPr>
        <w:t>-FORM-4: Pirbright Site Rules Overview</w:t>
      </w:r>
    </w:p>
    <w:p w14:paraId="230C812A" w14:textId="77777777" w:rsidR="00F14FF3" w:rsidRPr="001B7E54" w:rsidRDefault="00F14FF3" w:rsidP="00F14FF3">
      <w:pPr>
        <w:pStyle w:val="ListParagraph"/>
        <w:numPr>
          <w:ilvl w:val="0"/>
          <w:numId w:val="2"/>
        </w:numPr>
        <w:rPr>
          <w:rFonts w:ascii="Arial" w:hAnsi="Arial" w:cs="Arial"/>
          <w:sz w:val="20"/>
          <w:szCs w:val="20"/>
        </w:rPr>
      </w:pPr>
      <w:r w:rsidRPr="001B7E54">
        <w:rPr>
          <w:rFonts w:ascii="Arial" w:hAnsi="Arial" w:cs="Arial"/>
          <w:sz w:val="20"/>
          <w:szCs w:val="20"/>
        </w:rPr>
        <w:t>EMS-WI-</w:t>
      </w:r>
      <w:r>
        <w:rPr>
          <w:rFonts w:ascii="Arial" w:hAnsi="Arial" w:cs="Arial"/>
          <w:sz w:val="20"/>
          <w:szCs w:val="20"/>
        </w:rPr>
        <w:t>085</w:t>
      </w:r>
      <w:r w:rsidRPr="001B7E54">
        <w:rPr>
          <w:rFonts w:ascii="Arial" w:hAnsi="Arial" w:cs="Arial"/>
          <w:sz w:val="20"/>
          <w:szCs w:val="20"/>
        </w:rPr>
        <w:t>: Permit to work</w:t>
      </w:r>
    </w:p>
    <w:p w14:paraId="31C3DE95" w14:textId="77777777" w:rsidR="00F14FF3" w:rsidRPr="001B7E54" w:rsidRDefault="00F14FF3" w:rsidP="00F14FF3">
      <w:pPr>
        <w:pStyle w:val="ListParagraph"/>
        <w:numPr>
          <w:ilvl w:val="0"/>
          <w:numId w:val="2"/>
        </w:numPr>
        <w:rPr>
          <w:rFonts w:ascii="Arial" w:hAnsi="Arial" w:cs="Arial"/>
          <w:sz w:val="20"/>
          <w:szCs w:val="20"/>
        </w:rPr>
      </w:pPr>
      <w:r>
        <w:rPr>
          <w:rFonts w:ascii="Arial" w:hAnsi="Arial" w:cs="Arial"/>
          <w:sz w:val="20"/>
          <w:szCs w:val="20"/>
        </w:rPr>
        <w:t>EMS-FORM-098</w:t>
      </w:r>
      <w:r w:rsidRPr="001B7E54">
        <w:rPr>
          <w:rFonts w:ascii="Arial" w:hAnsi="Arial" w:cs="Arial"/>
          <w:sz w:val="20"/>
          <w:szCs w:val="20"/>
        </w:rPr>
        <w:t xml:space="preserve">: Permit to Work </w:t>
      </w:r>
      <w:r>
        <w:rPr>
          <w:rFonts w:ascii="Arial" w:hAnsi="Arial" w:cs="Arial"/>
          <w:sz w:val="20"/>
          <w:szCs w:val="20"/>
        </w:rPr>
        <w:t>Form</w:t>
      </w:r>
    </w:p>
    <w:p w14:paraId="423EC80E" w14:textId="77777777" w:rsidR="00F14FF3" w:rsidRPr="001B7E54" w:rsidRDefault="00F14FF3" w:rsidP="00F14FF3">
      <w:pPr>
        <w:pStyle w:val="ListParagraph"/>
        <w:numPr>
          <w:ilvl w:val="0"/>
          <w:numId w:val="2"/>
        </w:numPr>
        <w:rPr>
          <w:rFonts w:ascii="Arial" w:hAnsi="Arial" w:cs="Arial"/>
          <w:sz w:val="20"/>
          <w:szCs w:val="20"/>
        </w:rPr>
      </w:pPr>
      <w:r>
        <w:rPr>
          <w:rFonts w:ascii="Arial" w:hAnsi="Arial" w:cs="Arial"/>
          <w:sz w:val="20"/>
          <w:szCs w:val="20"/>
        </w:rPr>
        <w:t>EMS-FORM-100</w:t>
      </w:r>
      <w:r w:rsidRPr="001B7E54">
        <w:rPr>
          <w:rFonts w:ascii="Arial" w:hAnsi="Arial" w:cs="Arial"/>
          <w:sz w:val="20"/>
          <w:szCs w:val="20"/>
        </w:rPr>
        <w:t>: Point of Work Risk Assessment (POWRA)</w:t>
      </w:r>
    </w:p>
    <w:p w14:paraId="7D8D9753" w14:textId="77777777" w:rsidR="00F14FF3" w:rsidRPr="001B7E54" w:rsidRDefault="00F14FF3" w:rsidP="00F14FF3">
      <w:pPr>
        <w:pStyle w:val="ListParagraph"/>
        <w:numPr>
          <w:ilvl w:val="0"/>
          <w:numId w:val="2"/>
        </w:numPr>
        <w:rPr>
          <w:rFonts w:ascii="Arial" w:hAnsi="Arial" w:cs="Arial"/>
          <w:sz w:val="20"/>
          <w:szCs w:val="20"/>
        </w:rPr>
      </w:pPr>
      <w:r w:rsidRPr="001B7E54">
        <w:rPr>
          <w:rFonts w:ascii="Arial" w:hAnsi="Arial" w:cs="Arial"/>
          <w:sz w:val="20"/>
          <w:szCs w:val="20"/>
        </w:rPr>
        <w:t>EMS-WI-</w:t>
      </w:r>
      <w:r>
        <w:rPr>
          <w:rFonts w:ascii="Arial" w:hAnsi="Arial" w:cs="Arial"/>
          <w:sz w:val="20"/>
          <w:szCs w:val="20"/>
        </w:rPr>
        <w:t>087</w:t>
      </w:r>
      <w:r w:rsidRPr="001B7E54">
        <w:rPr>
          <w:rFonts w:ascii="Arial" w:hAnsi="Arial" w:cs="Arial"/>
          <w:sz w:val="20"/>
          <w:szCs w:val="20"/>
        </w:rPr>
        <w:t>: EMS Lockout/Tagout Work Instruction</w:t>
      </w:r>
    </w:p>
    <w:p w14:paraId="3BF34DFA" w14:textId="77777777" w:rsidR="00F14FF3" w:rsidRPr="001B7E54" w:rsidRDefault="00F14FF3" w:rsidP="00F14FF3">
      <w:pPr>
        <w:pStyle w:val="ListParagraph"/>
        <w:numPr>
          <w:ilvl w:val="0"/>
          <w:numId w:val="2"/>
        </w:numPr>
        <w:rPr>
          <w:rFonts w:ascii="Arial" w:hAnsi="Arial" w:cs="Arial"/>
          <w:sz w:val="20"/>
          <w:szCs w:val="20"/>
        </w:rPr>
      </w:pPr>
      <w:r w:rsidRPr="001B7E54">
        <w:rPr>
          <w:rFonts w:ascii="Arial" w:hAnsi="Arial" w:cs="Arial"/>
          <w:sz w:val="20"/>
          <w:szCs w:val="20"/>
        </w:rPr>
        <w:t>EMS-WI-</w:t>
      </w:r>
      <w:r>
        <w:rPr>
          <w:rFonts w:ascii="Arial" w:hAnsi="Arial" w:cs="Arial"/>
          <w:sz w:val="20"/>
          <w:szCs w:val="20"/>
        </w:rPr>
        <w:t>086</w:t>
      </w:r>
      <w:r w:rsidRPr="001B7E54">
        <w:rPr>
          <w:rFonts w:ascii="Arial" w:hAnsi="Arial" w:cs="Arial"/>
          <w:sz w:val="20"/>
          <w:szCs w:val="20"/>
        </w:rPr>
        <w:t>: Working at Height</w:t>
      </w:r>
    </w:p>
    <w:p w14:paraId="00034F5C" w14:textId="77777777" w:rsidR="00F14FF3" w:rsidRDefault="00F14FF3" w:rsidP="00F14FF3"/>
    <w:p w14:paraId="1A08203E" w14:textId="77777777" w:rsidR="00F14FF3" w:rsidRDefault="00F14FF3" w:rsidP="00F14FF3">
      <w:r>
        <w:t>If required, further training on the procedures detailed in the above documents can be given on site.</w:t>
      </w:r>
    </w:p>
    <w:p w14:paraId="44C99742" w14:textId="77777777" w:rsidR="00F14FF3" w:rsidRPr="00890C57" w:rsidRDefault="00F14FF3" w:rsidP="00F14FF3">
      <w:r>
        <w:t>The above documents detail TPIs management of H&amp;S for construction works, the following sections highlight aspects for particular consideration.</w:t>
      </w:r>
    </w:p>
    <w:p w14:paraId="04BC9124" w14:textId="77777777" w:rsidR="00F14FF3" w:rsidRPr="00890C57" w:rsidRDefault="00F14FF3" w:rsidP="00F14FF3">
      <w:pPr>
        <w:pStyle w:val="Heading3"/>
      </w:pPr>
      <w:bookmarkStart w:id="2" w:name="_Toc514352154"/>
      <w:r>
        <w:t>Risk Assessments &amp; Method Statements</w:t>
      </w:r>
      <w:bookmarkEnd w:id="2"/>
    </w:p>
    <w:p w14:paraId="5118B8E4" w14:textId="77777777" w:rsidR="00F14FF3" w:rsidRPr="00890C57" w:rsidRDefault="00F14FF3" w:rsidP="00F14FF3">
      <w:r w:rsidRPr="00890C57">
        <w:t xml:space="preserve">Any works on the site must be preceded by a risk assessment and method statement (RAMS). These must be submitted to the </w:t>
      </w:r>
      <w:r>
        <w:t>TPI responsible person</w:t>
      </w:r>
      <w:r w:rsidRPr="00890C57">
        <w:t xml:space="preserve"> at least 5 days in advance of the </w:t>
      </w:r>
      <w:r>
        <w:t>works</w:t>
      </w:r>
      <w:r w:rsidRPr="00890C57">
        <w:t xml:space="preserve">. </w:t>
      </w:r>
    </w:p>
    <w:p w14:paraId="3C79E01D" w14:textId="77777777" w:rsidR="00F14FF3" w:rsidRDefault="00F14FF3" w:rsidP="00F14FF3">
      <w:r w:rsidRPr="00890C57">
        <w:t xml:space="preserve">RAMS must not be generic but specific to the task </w:t>
      </w:r>
      <w:r>
        <w:t xml:space="preserve">and date of the works </w:t>
      </w:r>
      <w:r w:rsidRPr="00890C57">
        <w:t xml:space="preserve">and </w:t>
      </w:r>
      <w:r>
        <w:t>should include</w:t>
      </w:r>
      <w:r w:rsidRPr="00890C57">
        <w:t xml:space="preserve"> a detailed step by step method.</w:t>
      </w:r>
    </w:p>
    <w:p w14:paraId="2A9797D8" w14:textId="77777777" w:rsidR="00F14FF3" w:rsidRDefault="00F14FF3" w:rsidP="00F14FF3">
      <w:r>
        <w:t xml:space="preserve">RAMS are never “approved” but will be “reviewed” by TPI personnel, and feedback will be given. A permit to work will not be issued if the RAMS are felt to be inappropriate. </w:t>
      </w:r>
    </w:p>
    <w:p w14:paraId="14A9151C" w14:textId="77777777" w:rsidR="00F14FF3" w:rsidRDefault="00F14FF3" w:rsidP="00F14FF3">
      <w:r>
        <w:t>Where appropriate, RAMS should be accompanied by drawings to help explain their context.</w:t>
      </w:r>
    </w:p>
    <w:p w14:paraId="359B8C45" w14:textId="77777777" w:rsidR="00F14FF3" w:rsidRDefault="00F14FF3" w:rsidP="00F14FF3">
      <w:r>
        <w:t>Details of the competent person performing works and their relevant training records should be included and/or referenced in the RAMS.</w:t>
      </w:r>
    </w:p>
    <w:p w14:paraId="2B60F647" w14:textId="77777777" w:rsidR="00F14FF3" w:rsidRDefault="00F14FF3" w:rsidP="00F14FF3">
      <w:pPr>
        <w:pStyle w:val="Heading3"/>
      </w:pPr>
      <w:bookmarkStart w:id="3" w:name="_Toc514352155"/>
      <w:r>
        <w:t>Tools and Equipment</w:t>
      </w:r>
      <w:bookmarkEnd w:id="3"/>
      <w:r>
        <w:t xml:space="preserve"> </w:t>
      </w:r>
    </w:p>
    <w:p w14:paraId="41D4D902" w14:textId="77777777" w:rsidR="00F14FF3" w:rsidRDefault="00F14FF3" w:rsidP="00F14FF3">
      <w:r>
        <w:t>Contractors should always provide their own tools and equipment they require to complete their works. TPI will not issue equipment to contractors.</w:t>
      </w:r>
    </w:p>
    <w:p w14:paraId="1D960C0D" w14:textId="77777777" w:rsidR="00F14FF3" w:rsidRDefault="00F14FF3" w:rsidP="00F14FF3">
      <w:r>
        <w:t>Equipment used by contractors should be in good working order and comply with all relevant legislation.</w:t>
      </w:r>
    </w:p>
    <w:p w14:paraId="20591EE6" w14:textId="77777777" w:rsidR="00F14FF3" w:rsidRDefault="00F14FF3" w:rsidP="00F14FF3">
      <w:r>
        <w:t>Electrical equipment should be PAT tested.</w:t>
      </w:r>
    </w:p>
    <w:p w14:paraId="16031EAC" w14:textId="77777777" w:rsidR="00F14FF3" w:rsidRPr="00CC4D16" w:rsidRDefault="00F14FF3" w:rsidP="00F14FF3">
      <w:r>
        <w:t>Were appropriate calibration, inspection and testing certificates of equipment being used should be issued to the responsible person before works commence. This is particularly important for life safety equipment and lifting equipment.</w:t>
      </w:r>
    </w:p>
    <w:p w14:paraId="10BC5A0B" w14:textId="77777777" w:rsidR="00F14FF3" w:rsidRPr="00890C57" w:rsidRDefault="00F14FF3" w:rsidP="00F14FF3">
      <w:pPr>
        <w:pStyle w:val="Heading3"/>
      </w:pPr>
      <w:bookmarkStart w:id="4" w:name="_Toc514352156"/>
      <w:r w:rsidRPr="00890C57">
        <w:lastRenderedPageBreak/>
        <w:t>PPE</w:t>
      </w:r>
      <w:bookmarkEnd w:id="4"/>
    </w:p>
    <w:p w14:paraId="24D71C42" w14:textId="77777777" w:rsidR="00F14FF3" w:rsidRDefault="00F14FF3" w:rsidP="00F14FF3">
      <w:r w:rsidRPr="00890C57">
        <w:t xml:space="preserve">Contractors should </w:t>
      </w:r>
      <w:r>
        <w:t xml:space="preserve">provide their </w:t>
      </w:r>
      <w:r w:rsidRPr="00890C57">
        <w:t xml:space="preserve">own personal protective equipment (PPE). PPE used should be suitable for the works and </w:t>
      </w:r>
      <w:r>
        <w:t xml:space="preserve">specific type/specification of PPE </w:t>
      </w:r>
      <w:r w:rsidRPr="00890C57">
        <w:t>should be detailed in the RAMS.</w:t>
      </w:r>
      <w:r>
        <w:t xml:space="preserve"> </w:t>
      </w:r>
    </w:p>
    <w:p w14:paraId="6B63D5A8" w14:textId="77777777" w:rsidR="00F14FF3" w:rsidRDefault="00F14FF3" w:rsidP="00F14FF3">
      <w:pPr>
        <w:pStyle w:val="Heading3"/>
      </w:pPr>
      <w:bookmarkStart w:id="5" w:name="_Toc514352157"/>
      <w:r>
        <w:t>Barriers and Warning Signs.</w:t>
      </w:r>
      <w:bookmarkEnd w:id="5"/>
    </w:p>
    <w:p w14:paraId="70088B62" w14:textId="77777777" w:rsidR="00F14FF3" w:rsidRDefault="00F14FF3" w:rsidP="00F14FF3">
      <w:r w:rsidRPr="00890C57">
        <w:t xml:space="preserve">Area of works must be cordoned off with suitable barriers and warning signs to </w:t>
      </w:r>
      <w:r>
        <w:t>deter</w:t>
      </w:r>
      <w:r w:rsidRPr="00890C57">
        <w:t xml:space="preserve"> unauthorised pedestrian</w:t>
      </w:r>
      <w:r>
        <w:t>/vehicle</w:t>
      </w:r>
      <w:r w:rsidRPr="00890C57">
        <w:t xml:space="preserve"> access during work activities.</w:t>
      </w:r>
    </w:p>
    <w:p w14:paraId="12D82A76" w14:textId="77777777" w:rsidR="00F14FF3" w:rsidRDefault="00F14FF3" w:rsidP="00F14FF3">
      <w:r>
        <w:t>Contractors must provide their own barriers and warning signs.</w:t>
      </w:r>
    </w:p>
    <w:p w14:paraId="09E1AE16" w14:textId="77777777" w:rsidR="00F14FF3" w:rsidRPr="00890C57" w:rsidRDefault="00F14FF3" w:rsidP="00F14FF3">
      <w:pPr>
        <w:pStyle w:val="Heading3"/>
      </w:pPr>
      <w:bookmarkStart w:id="6" w:name="_Toc514352158"/>
      <w:r>
        <w:t>Access E</w:t>
      </w:r>
      <w:r w:rsidRPr="00890C57">
        <w:t>quipment</w:t>
      </w:r>
      <w:bookmarkEnd w:id="6"/>
    </w:p>
    <w:p w14:paraId="31E044D4" w14:textId="77777777" w:rsidR="00F14FF3" w:rsidRDefault="00F14FF3" w:rsidP="00F14FF3">
      <w:r w:rsidRPr="00890C57">
        <w:t xml:space="preserve">Contractors </w:t>
      </w:r>
      <w:r>
        <w:t xml:space="preserve">should arrange </w:t>
      </w:r>
      <w:r w:rsidRPr="00890C57">
        <w:t>scaffoldin</w:t>
      </w:r>
      <w:r>
        <w:t>g required. TPI preferred suppliers can be utilised.  Contractors should ensure that scaffolding is inspected and tagged on a weekly basis once erected.</w:t>
      </w:r>
    </w:p>
    <w:p w14:paraId="03BD53C2" w14:textId="77777777" w:rsidR="00F14FF3" w:rsidRDefault="00F14FF3" w:rsidP="00F14FF3">
      <w:r w:rsidRPr="00890C57">
        <w:t xml:space="preserve">Contractors </w:t>
      </w:r>
      <w:r>
        <w:t>should provide all</w:t>
      </w:r>
      <w:r w:rsidRPr="00890C57">
        <w:t xml:space="preserve"> temporary a</w:t>
      </w:r>
      <w:r>
        <w:t xml:space="preserve">ccess equipment required such as ladders. The equipment should be in good working order and should be of a class 1 (industrial) certification standard. </w:t>
      </w:r>
    </w:p>
    <w:p w14:paraId="1142EBAF" w14:textId="77777777" w:rsidR="00F14FF3" w:rsidRDefault="00F14FF3" w:rsidP="00F14FF3">
      <w:r>
        <w:t xml:space="preserve">Contractors should provide mobile access equipment and driver/operator required. The equipment should be in good working order and copies of </w:t>
      </w:r>
      <w:r w:rsidRPr="00102D8A">
        <w:t xml:space="preserve">Inspection certificates </w:t>
      </w:r>
      <w:r>
        <w:t xml:space="preserve">(less than 12 months old) should be issued to the TPI responsible person before works commence. Copies of qualifications/training records/licenses for drivers operating the equipment should be issued to the TPI responsible person before the works commence. </w:t>
      </w:r>
    </w:p>
    <w:p w14:paraId="4F584083" w14:textId="77777777" w:rsidR="00F14FF3" w:rsidRDefault="00F14FF3" w:rsidP="00F14FF3">
      <w:r>
        <w:t>TPI will not issue any of the above access equipment to contractors.</w:t>
      </w:r>
    </w:p>
    <w:p w14:paraId="07AFB450" w14:textId="77777777" w:rsidR="00F14FF3" w:rsidRPr="00890C57" w:rsidRDefault="00F14FF3" w:rsidP="00F14FF3">
      <w:pPr>
        <w:pStyle w:val="Heading3"/>
      </w:pPr>
      <w:bookmarkStart w:id="7" w:name="_Toc514352159"/>
      <w:r>
        <w:t>Lifting E</w:t>
      </w:r>
      <w:r w:rsidRPr="00890C57">
        <w:t>quipment</w:t>
      </w:r>
      <w:bookmarkEnd w:id="7"/>
    </w:p>
    <w:p w14:paraId="7AA528EA" w14:textId="77777777" w:rsidR="00F14FF3" w:rsidRDefault="00F14FF3" w:rsidP="00F14FF3">
      <w:r>
        <w:t xml:space="preserve">Contractors should provide their own lifting equipment and driver/operator if required to complete works detailed in this specification. The equipment should be in good working order and copies of </w:t>
      </w:r>
      <w:r w:rsidRPr="00102D8A">
        <w:t xml:space="preserve">Inspection certificates </w:t>
      </w:r>
      <w:r>
        <w:t xml:space="preserve">(less than 12 months old) should be issued to the TPI responsible person before works commence. Copies of qualifications/training records/licenses for drivers operating the equipment should be issued to the TPI responsible person before the works commence. </w:t>
      </w:r>
    </w:p>
    <w:p w14:paraId="2D1FA0A1" w14:textId="77777777" w:rsidR="00F14FF3" w:rsidRDefault="00F14FF3" w:rsidP="00F14FF3">
      <w:r>
        <w:t>TPI will not issue any of the above access equipment to contractors.</w:t>
      </w:r>
    </w:p>
    <w:p w14:paraId="316211A3" w14:textId="77777777" w:rsidR="00F14FF3" w:rsidRDefault="00F14FF3" w:rsidP="00F14FF3">
      <w:pPr>
        <w:pStyle w:val="Heading3"/>
      </w:pPr>
      <w:bookmarkStart w:id="8" w:name="_Toc514352160"/>
      <w:r>
        <w:t>Equipment Certification</w:t>
      </w:r>
      <w:bookmarkEnd w:id="8"/>
    </w:p>
    <w:p w14:paraId="1A4B6931" w14:textId="77777777" w:rsidR="00F14FF3" w:rsidRPr="00CC4D16" w:rsidRDefault="00F14FF3" w:rsidP="00F14FF3">
      <w:r>
        <w:t xml:space="preserve">Where appropriate, evidence of inspection / testing / commissioning of equipment supplied or used for installation works should be provided. </w:t>
      </w:r>
    </w:p>
    <w:p w14:paraId="5A0F4182" w14:textId="77777777" w:rsidR="00F14FF3" w:rsidRPr="00890C57" w:rsidRDefault="00F14FF3" w:rsidP="00F14FF3">
      <w:pPr>
        <w:pStyle w:val="Heading3"/>
      </w:pPr>
      <w:bookmarkStart w:id="9" w:name="_Toc514352161"/>
      <w:r w:rsidRPr="00890C57">
        <w:t>Permits</w:t>
      </w:r>
      <w:bookmarkEnd w:id="9"/>
    </w:p>
    <w:p w14:paraId="165107B9" w14:textId="77777777" w:rsidR="00F14FF3" w:rsidRDefault="00F14FF3" w:rsidP="00F14FF3">
      <w:r>
        <w:t>All works performed by contractors require a permit to work.</w:t>
      </w:r>
    </w:p>
    <w:p w14:paraId="3DA20279" w14:textId="7B3C70AD" w:rsidR="00F14FF3" w:rsidRDefault="00F14FF3" w:rsidP="00F14FF3">
      <w:r>
        <w:t xml:space="preserve">See </w:t>
      </w:r>
      <w:r w:rsidRPr="0092406E">
        <w:t>EMS-WI-079: Permit to work</w:t>
      </w:r>
      <w:r>
        <w:t xml:space="preserve"> (Appendix A) for further details.</w:t>
      </w:r>
    </w:p>
    <w:p w14:paraId="0C08C889" w14:textId="77777777" w:rsidR="00F14FF3" w:rsidRPr="00890C57" w:rsidRDefault="00F14FF3" w:rsidP="00F14FF3">
      <w:pPr>
        <w:pStyle w:val="Heading3"/>
      </w:pPr>
      <w:bookmarkStart w:id="10" w:name="_Toc514352162"/>
      <w:r w:rsidRPr="00890C57">
        <w:t>Isolations</w:t>
      </w:r>
      <w:bookmarkEnd w:id="10"/>
      <w:r w:rsidRPr="00890C57">
        <w:t xml:space="preserve"> </w:t>
      </w:r>
    </w:p>
    <w:p w14:paraId="4801E737" w14:textId="77777777" w:rsidR="00F14FF3" w:rsidRPr="00890C57" w:rsidRDefault="00F14FF3" w:rsidP="00F14FF3">
      <w:r>
        <w:t xml:space="preserve">As detailed in the EMS Lock out/Tag out Work Instruction, </w:t>
      </w:r>
      <w:r w:rsidRPr="00890C57">
        <w:t xml:space="preserve">Isolations </w:t>
      </w:r>
      <w:r>
        <w:t xml:space="preserve">of TPI site energy sources must </w:t>
      </w:r>
      <w:r w:rsidRPr="00890C57">
        <w:t xml:space="preserve">be performed under permit by </w:t>
      </w:r>
      <w:r>
        <w:t>TPI maintenance technicians</w:t>
      </w:r>
      <w:r w:rsidRPr="00890C57">
        <w:t xml:space="preserve"> and should be witnessed by the</w:t>
      </w:r>
      <w:r>
        <w:t xml:space="preserve"> contractor performing the work who then add their own locks to the isolation.</w:t>
      </w:r>
    </w:p>
    <w:p w14:paraId="0C1012B5" w14:textId="77777777" w:rsidR="00F14FF3" w:rsidRPr="00B5605C" w:rsidRDefault="00F14FF3" w:rsidP="00F14FF3">
      <w:pPr>
        <w:pStyle w:val="Heading3"/>
      </w:pPr>
      <w:bookmarkStart w:id="11" w:name="_Toc514352163"/>
      <w:r w:rsidRPr="00B5605C">
        <w:t>Asbestos</w:t>
      </w:r>
      <w:bookmarkEnd w:id="11"/>
    </w:p>
    <w:p w14:paraId="5FAA688B" w14:textId="77777777" w:rsidR="00F14FF3" w:rsidRDefault="00F14FF3" w:rsidP="00F14FF3">
      <w:r>
        <w:t>The site asbestos register is available on request.</w:t>
      </w:r>
    </w:p>
    <w:p w14:paraId="27797E94" w14:textId="77777777" w:rsidR="00F14FF3" w:rsidRDefault="00F14FF3" w:rsidP="00F14FF3">
      <w:r>
        <w:t>If any suspected asbestos is identified during the works then works in the area should be stopped and it should be highlighted to the site contact, who will arrange sampling to take place.</w:t>
      </w:r>
    </w:p>
    <w:p w14:paraId="7AF9C4AF" w14:textId="77777777" w:rsidR="00F14FF3" w:rsidRPr="00890C57" w:rsidRDefault="00F14FF3" w:rsidP="00F14FF3">
      <w:pPr>
        <w:pStyle w:val="Heading3"/>
      </w:pPr>
      <w:bookmarkStart w:id="12" w:name="_Toc514352164"/>
      <w:r w:rsidRPr="00890C57">
        <w:t>Emergency Procedures</w:t>
      </w:r>
      <w:bookmarkEnd w:id="12"/>
    </w:p>
    <w:p w14:paraId="5AFB745E" w14:textId="77777777" w:rsidR="00F14FF3" w:rsidRDefault="00F14FF3" w:rsidP="00F14FF3">
      <w:r>
        <w:t>If an</w:t>
      </w:r>
      <w:r w:rsidRPr="00890C57">
        <w:t xml:space="preserve"> emergency </w:t>
      </w:r>
      <w:r>
        <w:t xml:space="preserve">event is discovered, </w:t>
      </w:r>
      <w:r w:rsidRPr="00890C57">
        <w:t xml:space="preserve">such as a fire or medical emergency, the site gatehouse should be contacted </w:t>
      </w:r>
      <w:r>
        <w:t xml:space="preserve">for assistance </w:t>
      </w:r>
      <w:r w:rsidRPr="00890C57">
        <w:t>on the emergency extension number 1000 or on radio channel 1.</w:t>
      </w:r>
    </w:p>
    <w:p w14:paraId="7BAC31A8" w14:textId="77777777" w:rsidR="00F14FF3" w:rsidRPr="00890C57" w:rsidRDefault="00F14FF3" w:rsidP="00F14FF3">
      <w:r>
        <w:lastRenderedPageBreak/>
        <w:t xml:space="preserve">On discovering a fire, </w:t>
      </w:r>
      <w:r w:rsidRPr="00890C57">
        <w:t>the area should be evacuated and all personnel shou</w:t>
      </w:r>
      <w:r>
        <w:t xml:space="preserve">ld go to the fire assembly point. </w:t>
      </w:r>
      <w:r w:rsidRPr="00890C57">
        <w:t>If safe to do so, fire alarm call points should be activated on the way out of the area.</w:t>
      </w:r>
    </w:p>
    <w:p w14:paraId="17F9EF5F" w14:textId="77777777" w:rsidR="00F14FF3" w:rsidRPr="00890C57" w:rsidRDefault="00F14FF3" w:rsidP="00F14FF3">
      <w:r>
        <w:t>In the event of a fire alarm, works should cease and contractors should make their way to their fire assembly point (to be given by the project manager).</w:t>
      </w:r>
    </w:p>
    <w:p w14:paraId="6A60D45E" w14:textId="77777777" w:rsidR="00F14FF3" w:rsidRDefault="00F14FF3" w:rsidP="00F14FF3">
      <w:pPr>
        <w:pStyle w:val="Heading3"/>
      </w:pPr>
      <w:bookmarkStart w:id="13" w:name="_Toc514352165"/>
      <w:r>
        <w:t>Accident Reporting</w:t>
      </w:r>
      <w:bookmarkEnd w:id="13"/>
    </w:p>
    <w:p w14:paraId="1FC01795" w14:textId="77777777" w:rsidR="00F14FF3" w:rsidRDefault="00F14FF3" w:rsidP="00F14FF3">
      <w:r>
        <w:t>Accidents should be reported to the TPI responsible person.</w:t>
      </w:r>
    </w:p>
    <w:p w14:paraId="27556527" w14:textId="77777777" w:rsidR="00F14FF3" w:rsidRPr="00A260EB" w:rsidRDefault="00F14FF3" w:rsidP="00F14FF3"/>
    <w:p w14:paraId="12166196" w14:textId="77777777" w:rsidR="00F14FF3" w:rsidRDefault="00F14FF3" w:rsidP="00F14FF3">
      <w:pPr>
        <w:pStyle w:val="Heading2"/>
      </w:pPr>
      <w:bookmarkStart w:id="14" w:name="_Toc514352167"/>
      <w:r w:rsidRPr="00890C57">
        <w:t xml:space="preserve">Security </w:t>
      </w:r>
      <w:r>
        <w:t>and Site Access R</w:t>
      </w:r>
      <w:r w:rsidRPr="00890C57">
        <w:t>equirements</w:t>
      </w:r>
      <w:bookmarkEnd w:id="14"/>
    </w:p>
    <w:p w14:paraId="7FAA77DA" w14:textId="77777777" w:rsidR="00F14FF3" w:rsidRDefault="00F14FF3" w:rsidP="00F14FF3">
      <w:r w:rsidRPr="0092406E">
        <w:t xml:space="preserve">R&amp;A-COP-4: Contractor Management Process </w:t>
      </w:r>
      <w:r>
        <w:t>(Appendix A) details site access requirements.</w:t>
      </w:r>
    </w:p>
    <w:p w14:paraId="49C4E785" w14:textId="77777777" w:rsidR="00F14FF3" w:rsidRDefault="00F14FF3" w:rsidP="00F14FF3">
      <w:r>
        <w:t>The following sections highlight aspects to be considered.</w:t>
      </w:r>
    </w:p>
    <w:p w14:paraId="21F2C6F0" w14:textId="77777777" w:rsidR="00F14FF3" w:rsidRDefault="00F14FF3" w:rsidP="00F14FF3">
      <w:r>
        <w:t>Also see the site management plan (Appendix A) for further details.</w:t>
      </w:r>
    </w:p>
    <w:p w14:paraId="79C6B50F" w14:textId="77777777" w:rsidR="00F14FF3" w:rsidRDefault="00F14FF3" w:rsidP="00F14FF3">
      <w:pPr>
        <w:pStyle w:val="Heading3"/>
      </w:pPr>
      <w:bookmarkStart w:id="15" w:name="_Toc514352168"/>
      <w:r>
        <w:t>Photos</w:t>
      </w:r>
      <w:bookmarkEnd w:id="15"/>
    </w:p>
    <w:p w14:paraId="571CF26A" w14:textId="77777777" w:rsidR="00F14FF3" w:rsidRPr="00F9774C" w:rsidRDefault="00F14FF3" w:rsidP="00F14FF3">
      <w:r>
        <w:t>Photos on site can only be taken with prior agreement from the TPI responsible person. Any photos taken should not include any faces or vehicle number plates.</w:t>
      </w:r>
    </w:p>
    <w:p w14:paraId="0C8CB0FD" w14:textId="77777777" w:rsidR="00F14FF3" w:rsidRDefault="00F14FF3" w:rsidP="00F14FF3">
      <w:pPr>
        <w:pStyle w:val="Heading3"/>
      </w:pPr>
      <w:bookmarkStart w:id="16" w:name="_Toc514352169"/>
      <w:r>
        <w:t>Site Access</w:t>
      </w:r>
      <w:bookmarkEnd w:id="16"/>
    </w:p>
    <w:p w14:paraId="0C6EA3A5" w14:textId="77777777" w:rsidR="00F14FF3" w:rsidRPr="00890C57" w:rsidRDefault="00F14FF3" w:rsidP="00F14FF3">
      <w:r>
        <w:t xml:space="preserve">To gain access to site, all contractors must </w:t>
      </w:r>
      <w:r w:rsidRPr="00890C57">
        <w:t xml:space="preserve">have visitor forms raised for them by their site </w:t>
      </w:r>
      <w:r>
        <w:t>host</w:t>
      </w:r>
      <w:r w:rsidRPr="00890C57">
        <w:t xml:space="preserve"> before arrival on site, therefore a </w:t>
      </w:r>
      <w:r>
        <w:t>full</w:t>
      </w:r>
      <w:r w:rsidRPr="00890C57">
        <w:t xml:space="preserve"> names and dates of all personnel attending site must be provided at least 24h in advance.</w:t>
      </w:r>
    </w:p>
    <w:p w14:paraId="0B889A3B" w14:textId="77777777" w:rsidR="00F14FF3" w:rsidRPr="00890C57" w:rsidRDefault="00F14FF3" w:rsidP="00F14FF3">
      <w:r w:rsidRPr="00890C57">
        <w:t xml:space="preserve">Contractors must report to the gatehouse and present photo ID </w:t>
      </w:r>
      <w:r>
        <w:t>each time they access site. Photo card driving license and passport are the only forms of ID that will be accepted.</w:t>
      </w:r>
    </w:p>
    <w:p w14:paraId="12918022" w14:textId="77777777" w:rsidR="00F14FF3" w:rsidRPr="00890C57" w:rsidRDefault="00F14FF3" w:rsidP="00F14FF3">
      <w:pPr>
        <w:pStyle w:val="Heading3"/>
      </w:pPr>
      <w:bookmarkStart w:id="17" w:name="_Toc514352170"/>
      <w:r>
        <w:t>Site I</w:t>
      </w:r>
      <w:r w:rsidRPr="00890C57">
        <w:t>nductions</w:t>
      </w:r>
      <w:bookmarkEnd w:id="17"/>
    </w:p>
    <w:p w14:paraId="72ED62C1" w14:textId="77777777" w:rsidR="00F14FF3" w:rsidRDefault="00F14FF3" w:rsidP="00F14FF3">
      <w:r>
        <w:t xml:space="preserve">An additional 30 min video induction and associated test should be completed by contractors working within any restricted areas. </w:t>
      </w:r>
    </w:p>
    <w:p w14:paraId="17F26E1E" w14:textId="77777777" w:rsidR="00F14FF3" w:rsidRDefault="00F14FF3" w:rsidP="00F14FF3">
      <w:pPr>
        <w:pStyle w:val="Heading3"/>
      </w:pPr>
      <w:bookmarkStart w:id="18" w:name="_Toc514352171"/>
      <w:r>
        <w:t>Approved Contractors and Escort Requirements</w:t>
      </w:r>
      <w:bookmarkEnd w:id="18"/>
    </w:p>
    <w:p w14:paraId="4A772CDF" w14:textId="77777777" w:rsidR="00F14FF3" w:rsidRDefault="00F14FF3" w:rsidP="00F14FF3">
      <w:r>
        <w:t xml:space="preserve">Contractors must be fully escorted by Pirbright personnel unless there are approved contractors within the team. </w:t>
      </w:r>
    </w:p>
    <w:p w14:paraId="590134C9" w14:textId="77777777" w:rsidR="00F14FF3" w:rsidRDefault="00F14FF3" w:rsidP="00F14FF3">
      <w:r w:rsidRPr="006F482A">
        <w:rPr>
          <w:rFonts w:asciiTheme="minorHAnsi" w:hAnsiTheme="minorHAnsi" w:cstheme="minorBidi"/>
          <w:sz w:val="22"/>
          <w:szCs w:val="22"/>
        </w:rPr>
        <w:t>All contractors’ operatives who will be working on site must obtain security clearance through our security clearance company (Agenda)</w:t>
      </w:r>
      <w:r>
        <w:rPr>
          <w:rFonts w:asciiTheme="minorHAnsi" w:hAnsiTheme="minorHAnsi" w:cstheme="minorBidi"/>
          <w:sz w:val="22"/>
          <w:szCs w:val="22"/>
        </w:rPr>
        <w:t>the cost of which is covered by TPI</w:t>
      </w:r>
      <w:r w:rsidRPr="006F482A">
        <w:rPr>
          <w:rFonts w:asciiTheme="minorHAnsi" w:hAnsiTheme="minorHAnsi" w:cstheme="minorBidi"/>
          <w:sz w:val="22"/>
          <w:szCs w:val="22"/>
        </w:rPr>
        <w:t>, within one month of the contract being awarded</w:t>
      </w:r>
      <w:r>
        <w:rPr>
          <w:rFonts w:asciiTheme="minorHAnsi" w:hAnsiTheme="minorHAnsi" w:cstheme="minorBidi"/>
          <w:sz w:val="22"/>
          <w:szCs w:val="22"/>
        </w:rPr>
        <w:t xml:space="preserve">, </w:t>
      </w:r>
      <w:r w:rsidRPr="006F482A">
        <w:rPr>
          <w:rFonts w:asciiTheme="minorHAnsi" w:hAnsiTheme="minorHAnsi" w:cstheme="minorBidi"/>
          <w:sz w:val="22"/>
          <w:szCs w:val="22"/>
        </w:rPr>
        <w:t>before attending site for servicing</w:t>
      </w:r>
      <w:r>
        <w:rPr>
          <w:rFonts w:asciiTheme="minorHAnsi" w:hAnsiTheme="minorHAnsi" w:cstheme="minorBidi"/>
          <w:sz w:val="22"/>
          <w:szCs w:val="22"/>
        </w:rPr>
        <w:t>.</w:t>
      </w:r>
    </w:p>
    <w:p w14:paraId="1E52F1B1" w14:textId="77777777" w:rsidR="00F14FF3" w:rsidRPr="00890C57" w:rsidRDefault="00F14FF3" w:rsidP="00F14FF3">
      <w:r>
        <w:t>Even approved contractors must be escorted within restricted areas.</w:t>
      </w:r>
    </w:p>
    <w:p w14:paraId="6F0ED1A3" w14:textId="77777777" w:rsidR="00F14FF3" w:rsidRPr="00890C57" w:rsidRDefault="00F14FF3" w:rsidP="00F14FF3">
      <w:pPr>
        <w:pStyle w:val="Heading3"/>
      </w:pPr>
      <w:bookmarkStart w:id="19" w:name="_Toc514352172"/>
      <w:r>
        <w:t>Vehicle M</w:t>
      </w:r>
      <w:r w:rsidRPr="00890C57">
        <w:t>ovements</w:t>
      </w:r>
      <w:bookmarkEnd w:id="19"/>
    </w:p>
    <w:p w14:paraId="268D5F37" w14:textId="77777777" w:rsidR="00F14FF3" w:rsidRPr="00890C57" w:rsidRDefault="00F14FF3" w:rsidP="00F14FF3">
      <w:r w:rsidRPr="00890C57">
        <w:t xml:space="preserve">Vehicle movements on site </w:t>
      </w:r>
      <w:r>
        <w:t xml:space="preserve">roads is subject to a </w:t>
      </w:r>
      <w:r w:rsidRPr="00890C57">
        <w:t xml:space="preserve">speed limit of 10 mph </w:t>
      </w:r>
      <w:r>
        <w:t xml:space="preserve">which </w:t>
      </w:r>
      <w:r w:rsidRPr="00890C57">
        <w:t xml:space="preserve">must be observed at all times extra caution should be taken by drivers </w:t>
      </w:r>
      <w:r>
        <w:t xml:space="preserve">on site roads </w:t>
      </w:r>
      <w:r w:rsidRPr="00890C57">
        <w:t xml:space="preserve">due to </w:t>
      </w:r>
      <w:r>
        <w:t>shared use of roads by</w:t>
      </w:r>
      <w:r w:rsidRPr="00890C57">
        <w:t xml:space="preserve"> pedestrians, bicycles and vehicles.</w:t>
      </w:r>
    </w:p>
    <w:p w14:paraId="188A8458" w14:textId="77777777" w:rsidR="00F14FF3" w:rsidRDefault="00F14FF3" w:rsidP="00F14FF3">
      <w:r w:rsidRPr="00890C57">
        <w:t>Vehicle access to the site is through the main entrance at the north boundary of the site.</w:t>
      </w:r>
    </w:p>
    <w:p w14:paraId="1503E2C3" w14:textId="77777777" w:rsidR="00F14FF3" w:rsidRPr="00890C57" w:rsidRDefault="00F14FF3" w:rsidP="00F14FF3">
      <w:r>
        <w:t>Vehicle access to the construction site is via the ATU track gate (see site management plan in appendix A).</w:t>
      </w:r>
    </w:p>
    <w:p w14:paraId="511F0E8F" w14:textId="77777777" w:rsidR="00F14FF3" w:rsidRDefault="00F14FF3" w:rsidP="00F14FF3">
      <w:pPr>
        <w:pStyle w:val="Heading3"/>
      </w:pPr>
      <w:bookmarkStart w:id="20" w:name="_Toc514352173"/>
      <w:r>
        <w:t>Welfare Facilities</w:t>
      </w:r>
      <w:bookmarkEnd w:id="20"/>
    </w:p>
    <w:p w14:paraId="2F7E54E0" w14:textId="77777777" w:rsidR="00F14FF3" w:rsidRDefault="00F14FF3" w:rsidP="00F14FF3">
      <w:r>
        <w:t>There are toilets and a site canteen that can be utilised by contractors whilst on site.</w:t>
      </w:r>
    </w:p>
    <w:p w14:paraId="1C8ACF72" w14:textId="77777777" w:rsidR="00F14FF3" w:rsidRPr="00890C57" w:rsidRDefault="00F14FF3" w:rsidP="00F14FF3">
      <w:pPr>
        <w:pStyle w:val="Heading3"/>
      </w:pPr>
      <w:bookmarkStart w:id="21" w:name="_Toc514352174"/>
      <w:r>
        <w:lastRenderedPageBreak/>
        <w:t>Working H</w:t>
      </w:r>
      <w:r w:rsidRPr="00890C57">
        <w:t>ours</w:t>
      </w:r>
      <w:bookmarkEnd w:id="21"/>
    </w:p>
    <w:p w14:paraId="1445197D" w14:textId="77777777" w:rsidR="00F14FF3" w:rsidRDefault="00F14FF3" w:rsidP="00F14FF3">
      <w:r w:rsidRPr="00890C57">
        <w:t>Contractors will be able to access site from 0</w:t>
      </w:r>
      <w:r>
        <w:t>7</w:t>
      </w:r>
      <w:r w:rsidRPr="00890C57">
        <w:t>00h – 1900h</w:t>
      </w:r>
      <w:r>
        <w:t xml:space="preserve"> Mon - Fri</w:t>
      </w:r>
      <w:r w:rsidRPr="00890C57">
        <w:t>.</w:t>
      </w:r>
      <w:r>
        <w:t xml:space="preserve"> works outside of these hours need to be arranged with the TPI responsible person.</w:t>
      </w:r>
    </w:p>
    <w:p w14:paraId="39EF986B" w14:textId="77777777" w:rsidR="00F14FF3" w:rsidRDefault="00F14FF3" w:rsidP="00F14FF3">
      <w:r>
        <w:t>Consideration should be given to the use of temporary lighting requirements if working in poor light.</w:t>
      </w:r>
    </w:p>
    <w:p w14:paraId="37B709B4" w14:textId="77777777" w:rsidR="00F14FF3" w:rsidRPr="00890C57" w:rsidRDefault="00F14FF3" w:rsidP="00F14FF3"/>
    <w:p w14:paraId="03FC0726" w14:textId="77777777" w:rsidR="00F14FF3" w:rsidRPr="00890C57" w:rsidRDefault="00F14FF3" w:rsidP="00F14FF3">
      <w:pPr>
        <w:pStyle w:val="Heading2"/>
      </w:pPr>
      <w:bookmarkStart w:id="22" w:name="_Toc514352175"/>
      <w:r>
        <w:t xml:space="preserve">Bio Safety </w:t>
      </w:r>
      <w:r w:rsidRPr="00890C57">
        <w:t xml:space="preserve">Quarantine </w:t>
      </w:r>
      <w:r>
        <w:t>and Decontamination R</w:t>
      </w:r>
      <w:r w:rsidRPr="00890C57">
        <w:t>equirements</w:t>
      </w:r>
      <w:bookmarkEnd w:id="22"/>
    </w:p>
    <w:p w14:paraId="76AAFE97" w14:textId="6731C718" w:rsidR="00F14FF3" w:rsidRDefault="00F14FF3" w:rsidP="00F14FF3">
      <w:r>
        <w:t>If required to enter restricted areas, a</w:t>
      </w:r>
      <w:r w:rsidRPr="00800A77">
        <w:t>ll contractors’ operatives</w:t>
      </w:r>
      <w:r>
        <w:t xml:space="preserve"> </w:t>
      </w:r>
      <w:r w:rsidRPr="00800A77">
        <w:t>will be required to undertake a biosafety awareness induction training, which will take around 30 minutes and be required to pass a short awareness test, to ensure that they have understood the induction, before entering contained areas on site.</w:t>
      </w:r>
    </w:p>
    <w:p w14:paraId="18F5D321" w14:textId="77777777" w:rsidR="00F14FF3" w:rsidRDefault="00F14FF3" w:rsidP="00F14FF3">
      <w:r>
        <w:t xml:space="preserve">Personnel and equipment working within restricted areas will be subject to a 3 day quarantine period. During this period they or their equipment mustn’t visit zoos, farms, safari parks or other locations likely to house susceptible species of animal. </w:t>
      </w:r>
    </w:p>
    <w:p w14:paraId="29B15E99" w14:textId="77777777" w:rsidR="00F14FF3" w:rsidRPr="00890C57" w:rsidRDefault="00F14FF3" w:rsidP="00F14FF3">
      <w:r>
        <w:t xml:space="preserve">Further details will be given in the </w:t>
      </w:r>
      <w:r w:rsidRPr="00800A77">
        <w:t>biosafety awareness induction</w:t>
      </w:r>
      <w:r>
        <w:t>.</w:t>
      </w:r>
    </w:p>
    <w:p w14:paraId="1486E39C" w14:textId="77777777" w:rsidR="00F14FF3" w:rsidRDefault="00F14FF3" w:rsidP="00F14FF3">
      <w:r>
        <w:t>Equipment used for the works within the restricted areas will need to be fumigated out, this is usually performed overnight so allowances must be made for collection of this equipment the next day or on the next visit.</w:t>
      </w:r>
    </w:p>
    <w:p w14:paraId="15D68ADA" w14:textId="77777777" w:rsidR="00F14FF3" w:rsidRDefault="00F14FF3" w:rsidP="00F14FF3"/>
    <w:p w14:paraId="629982FE" w14:textId="77777777" w:rsidR="00F14FF3" w:rsidRDefault="00F14FF3" w:rsidP="00F14FF3">
      <w:pPr>
        <w:pStyle w:val="Heading2"/>
      </w:pPr>
      <w:bookmarkStart w:id="23" w:name="_Toc514352176"/>
      <w:r>
        <w:t>Completion of works</w:t>
      </w:r>
      <w:bookmarkEnd w:id="23"/>
    </w:p>
    <w:p w14:paraId="36433426" w14:textId="77777777" w:rsidR="00F14FF3" w:rsidRDefault="00F14FF3" w:rsidP="00F14FF3">
      <w:pPr>
        <w:pStyle w:val="Heading3"/>
      </w:pPr>
      <w:bookmarkStart w:id="24" w:name="_Toc514352177"/>
      <w:r>
        <w:t>Service Reports &amp; Test Certificates</w:t>
      </w:r>
      <w:bookmarkEnd w:id="24"/>
    </w:p>
    <w:p w14:paraId="4B346288" w14:textId="77777777" w:rsidR="00F14FF3" w:rsidRDefault="00F14FF3" w:rsidP="00F14FF3">
      <w:r>
        <w:t>Works are not deemed complete until fully tested and service report and test certificates are issued to the TPI responsible person.</w:t>
      </w:r>
    </w:p>
    <w:p w14:paraId="33B4D53F" w14:textId="77777777" w:rsidR="00F14FF3" w:rsidRPr="00FD76BC" w:rsidRDefault="00F14FF3" w:rsidP="00F14FF3">
      <w:r>
        <w:t>If for any reason the works cannot be completed, the TPI responsible person should be informed before service engineers leave site.</w:t>
      </w:r>
    </w:p>
    <w:p w14:paraId="3B65A38F" w14:textId="77777777" w:rsidR="00F14FF3" w:rsidRPr="00890C57" w:rsidRDefault="00F14FF3" w:rsidP="00F14FF3">
      <w:pPr>
        <w:pStyle w:val="Heading3"/>
      </w:pPr>
      <w:bookmarkStart w:id="25" w:name="_Toc514352178"/>
      <w:r w:rsidRPr="00890C57">
        <w:t>Waste</w:t>
      </w:r>
      <w:r>
        <w:t xml:space="preserve"> Management</w:t>
      </w:r>
      <w:bookmarkEnd w:id="25"/>
    </w:p>
    <w:p w14:paraId="45407E57" w14:textId="77777777" w:rsidR="00F14FF3" w:rsidRDefault="00F14FF3" w:rsidP="00F14FF3">
      <w:r>
        <w:t>Works are not considered completed if w</w:t>
      </w:r>
      <w:r w:rsidRPr="00890C57">
        <w:t>aste</w:t>
      </w:r>
      <w:r>
        <w:t>/detritus is left following any works.</w:t>
      </w:r>
    </w:p>
    <w:p w14:paraId="563B9DD4" w14:textId="77777777" w:rsidR="00F14FF3" w:rsidRDefault="00F14FF3" w:rsidP="00F14FF3">
      <w:r>
        <w:t>Removal of waste should be discussed with the TPI responsible person, in general it is the expectation that waste is removed and disposed of responsibly by the contractor. Site waste streams can only be used with prior agreement with TPI responsible person.</w:t>
      </w:r>
    </w:p>
    <w:p w14:paraId="4822C022" w14:textId="77777777" w:rsidR="00F14FF3" w:rsidRPr="002E5F3E" w:rsidRDefault="00F14FF3" w:rsidP="00F14FF3"/>
    <w:p w14:paraId="7831A453" w14:textId="77777777" w:rsidR="00F14FF3" w:rsidRPr="00890C57" w:rsidRDefault="00F14FF3" w:rsidP="00F14FF3">
      <w:pPr>
        <w:pStyle w:val="Heading3"/>
      </w:pPr>
      <w:bookmarkStart w:id="26" w:name="_Toc514352179"/>
      <w:r w:rsidRPr="00890C57">
        <w:t>Contractor Capability</w:t>
      </w:r>
      <w:bookmarkEnd w:id="26"/>
    </w:p>
    <w:p w14:paraId="237A0B66" w14:textId="77777777" w:rsidR="00F14FF3" w:rsidRDefault="00F14FF3" w:rsidP="00F14FF3">
      <w:pPr>
        <w:rPr>
          <w:szCs w:val="20"/>
        </w:rPr>
      </w:pPr>
      <w:r>
        <w:rPr>
          <w:szCs w:val="20"/>
        </w:rPr>
        <w:t>Relevant training records of contractors performing the works should be issued to the TPI responsible person.</w:t>
      </w:r>
    </w:p>
    <w:p w14:paraId="1C141CA7" w14:textId="77777777" w:rsidR="00F14FF3" w:rsidRPr="00FD76BC" w:rsidRDefault="00F14FF3" w:rsidP="00F14FF3">
      <w:pPr>
        <w:rPr>
          <w:szCs w:val="20"/>
        </w:rPr>
      </w:pPr>
      <w:r>
        <w:rPr>
          <w:szCs w:val="20"/>
        </w:rPr>
        <w:t>The works should not be subcontracted by the service agreement contractor.</w:t>
      </w:r>
    </w:p>
    <w:p w14:paraId="4A9BE8EA" w14:textId="77777777" w:rsidR="00F14FF3" w:rsidRPr="00956BF3" w:rsidRDefault="00F14FF3" w:rsidP="00F14FF3">
      <w:pPr>
        <w:pStyle w:val="ListParagraph"/>
        <w:spacing w:after="120"/>
        <w:ind w:left="714"/>
        <w:rPr>
          <w:rFonts w:ascii="Arial" w:hAnsi="Arial" w:cs="Arial"/>
          <w:sz w:val="20"/>
          <w:szCs w:val="20"/>
        </w:rPr>
      </w:pPr>
    </w:p>
    <w:p w14:paraId="5A434654" w14:textId="77777777" w:rsidR="00F14FF3" w:rsidRDefault="00F14FF3" w:rsidP="00F14FF3">
      <w:pPr>
        <w:pStyle w:val="Heading3"/>
      </w:pPr>
      <w:bookmarkStart w:id="27" w:name="_Toc514352180"/>
      <w:r>
        <w:t>Service Agreement Performance Review Meetings.</w:t>
      </w:r>
      <w:bookmarkEnd w:id="27"/>
    </w:p>
    <w:p w14:paraId="774B9D28" w14:textId="437234D6" w:rsidR="00947729" w:rsidRDefault="00F14FF3" w:rsidP="00F14FF3">
      <w:r w:rsidRPr="00C77128">
        <w:t>To be carried out every 6 months, unless otherwise agreed by TPI and Contractor.</w:t>
      </w:r>
    </w:p>
    <w:sectPr w:rsidR="00947729" w:rsidSect="001E5A79">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F0DA4" w14:textId="77777777" w:rsidR="001E5A79" w:rsidRDefault="001E5A79" w:rsidP="001E5A79">
      <w:pPr>
        <w:spacing w:after="0"/>
      </w:pPr>
      <w:r>
        <w:separator/>
      </w:r>
    </w:p>
  </w:endnote>
  <w:endnote w:type="continuationSeparator" w:id="0">
    <w:p w14:paraId="427657B5" w14:textId="77777777" w:rsidR="001E5A79" w:rsidRDefault="001E5A79" w:rsidP="001E5A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77D69" w14:textId="77777777" w:rsidR="001E5A79" w:rsidRDefault="001E5A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0B899" w14:textId="77777777" w:rsidR="001E5A79" w:rsidRDefault="001E5A79">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5A847BEC" w14:textId="77777777" w:rsidR="001E5A79" w:rsidRDefault="001E5A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53A9" w14:textId="77777777" w:rsidR="001E5A79" w:rsidRDefault="001E5A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0399F" w14:textId="77777777" w:rsidR="001E5A79" w:rsidRDefault="001E5A79" w:rsidP="001E5A79">
      <w:pPr>
        <w:spacing w:after="0"/>
      </w:pPr>
      <w:r>
        <w:separator/>
      </w:r>
    </w:p>
  </w:footnote>
  <w:footnote w:type="continuationSeparator" w:id="0">
    <w:p w14:paraId="33139B15" w14:textId="77777777" w:rsidR="001E5A79" w:rsidRDefault="001E5A79" w:rsidP="001E5A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E5D1C" w14:textId="77777777" w:rsidR="001E5A79" w:rsidRDefault="001E5A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1ACB7" w14:textId="449F9083" w:rsidR="001E5A79" w:rsidRDefault="001E5A79">
    <w:pPr>
      <w:pStyle w:val="Header"/>
    </w:pPr>
    <w:r>
      <w:rPr>
        <w:noProof/>
      </w:rPr>
      <w:drawing>
        <wp:anchor distT="0" distB="0" distL="114300" distR="114300" simplePos="0" relativeHeight="251659264" behindDoc="0" locked="0" layoutInCell="1" allowOverlap="1" wp14:anchorId="3877B999" wp14:editId="665BD3B5">
          <wp:simplePos x="0" y="0"/>
          <wp:positionH relativeFrom="column">
            <wp:posOffset>5038725</wp:posOffset>
          </wp:positionH>
          <wp:positionV relativeFrom="paragraph">
            <wp:posOffset>-354330</wp:posOffset>
          </wp:positionV>
          <wp:extent cx="1324610" cy="751840"/>
          <wp:effectExtent l="0" t="0" r="889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4610" cy="7518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8E797" w14:textId="77777777" w:rsidR="001E5A79" w:rsidRDefault="001E5A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134"/>
    <w:multiLevelType w:val="multilevel"/>
    <w:tmpl w:val="CEA0564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B7A7FA9"/>
    <w:multiLevelType w:val="hybridMultilevel"/>
    <w:tmpl w:val="AF28068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82C0052"/>
    <w:multiLevelType w:val="hybridMultilevel"/>
    <w:tmpl w:val="0B925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FF3"/>
    <w:rsid w:val="001E5A79"/>
    <w:rsid w:val="00947729"/>
    <w:rsid w:val="00F14F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D946C"/>
  <w15:chartTrackingRefBased/>
  <w15:docId w15:val="{964683A7-BEFB-45E9-A940-B6AAEA60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FF3"/>
    <w:pPr>
      <w:overflowPunct w:val="0"/>
      <w:autoSpaceDE w:val="0"/>
      <w:autoSpaceDN w:val="0"/>
      <w:adjustRightInd w:val="0"/>
      <w:spacing w:after="120" w:line="240" w:lineRule="auto"/>
      <w:textAlignment w:val="baseline"/>
    </w:pPr>
    <w:rPr>
      <w:rFonts w:ascii="Arial" w:eastAsia="Times New Roman" w:hAnsi="Arial" w:cs="Arial"/>
      <w:sz w:val="20"/>
      <w:szCs w:val="24"/>
      <w:lang w:eastAsia="en-GB"/>
    </w:rPr>
  </w:style>
  <w:style w:type="paragraph" w:styleId="Heading1">
    <w:name w:val="heading 1"/>
    <w:link w:val="Heading1Char"/>
    <w:qFormat/>
    <w:rsid w:val="00F14FF3"/>
    <w:pPr>
      <w:keepNext/>
      <w:numPr>
        <w:numId w:val="1"/>
      </w:numPr>
      <w:pBdr>
        <w:top w:val="single" w:sz="6" w:space="1" w:color="auto"/>
      </w:pBdr>
      <w:spacing w:after="240" w:line="240" w:lineRule="auto"/>
      <w:ind w:left="431" w:hanging="431"/>
      <w:outlineLvl w:val="0"/>
    </w:pPr>
    <w:rPr>
      <w:rFonts w:ascii="Arial" w:eastAsia="Times New Roman" w:hAnsi="Arial" w:cs="Arial"/>
      <w:b/>
      <w:bCs/>
      <w:kern w:val="28"/>
      <w:sz w:val="28"/>
      <w:szCs w:val="32"/>
      <w:lang w:eastAsia="en-GB"/>
    </w:rPr>
  </w:style>
  <w:style w:type="paragraph" w:styleId="Heading2">
    <w:name w:val="heading 2"/>
    <w:basedOn w:val="Normal"/>
    <w:next w:val="Normal"/>
    <w:link w:val="Heading2Char"/>
    <w:qFormat/>
    <w:rsid w:val="00F14FF3"/>
    <w:pPr>
      <w:keepNext/>
      <w:numPr>
        <w:ilvl w:val="1"/>
        <w:numId w:val="1"/>
      </w:numPr>
      <w:ind w:left="578" w:hanging="578"/>
      <w:outlineLvl w:val="1"/>
    </w:pPr>
    <w:rPr>
      <w:b/>
      <w:bCs/>
      <w:sz w:val="24"/>
      <w:szCs w:val="28"/>
    </w:rPr>
  </w:style>
  <w:style w:type="paragraph" w:styleId="Heading3">
    <w:name w:val="heading 3"/>
    <w:basedOn w:val="Normal"/>
    <w:next w:val="Normal"/>
    <w:link w:val="Heading3Char"/>
    <w:qFormat/>
    <w:rsid w:val="00F14FF3"/>
    <w:pPr>
      <w:keepNext/>
      <w:numPr>
        <w:ilvl w:val="2"/>
        <w:numId w:val="1"/>
      </w:numPr>
      <w:spacing w:before="240"/>
      <w:outlineLvl w:val="2"/>
    </w:pPr>
    <w:rPr>
      <w:b/>
      <w:bCs/>
    </w:rPr>
  </w:style>
  <w:style w:type="paragraph" w:styleId="Heading5">
    <w:name w:val="heading 5"/>
    <w:basedOn w:val="Normal"/>
    <w:next w:val="Normal"/>
    <w:link w:val="Heading5Char"/>
    <w:qFormat/>
    <w:rsid w:val="00F14FF3"/>
    <w:pPr>
      <w:keepNext/>
      <w:numPr>
        <w:ilvl w:val="4"/>
        <w:numId w:val="1"/>
      </w:numPr>
      <w:spacing w:line="-280" w:lineRule="auto"/>
      <w:outlineLvl w:val="4"/>
    </w:pPr>
    <w:rPr>
      <w:b/>
      <w:bCs/>
      <w:sz w:val="28"/>
      <w:szCs w:val="28"/>
      <w:lang w:val="en-US"/>
    </w:rPr>
  </w:style>
  <w:style w:type="paragraph" w:styleId="Heading6">
    <w:name w:val="heading 6"/>
    <w:basedOn w:val="Normal"/>
    <w:next w:val="Normal"/>
    <w:link w:val="Heading6Char"/>
    <w:qFormat/>
    <w:rsid w:val="00F14FF3"/>
    <w:pPr>
      <w:keepNext/>
      <w:numPr>
        <w:ilvl w:val="5"/>
        <w:numId w:val="1"/>
      </w:numPr>
      <w:spacing w:line="-280" w:lineRule="auto"/>
      <w:outlineLvl w:val="5"/>
    </w:pPr>
    <w:rPr>
      <w:b/>
      <w:bCs/>
      <w:caps/>
      <w:sz w:val="40"/>
      <w:szCs w:val="40"/>
      <w:lang w:val="en-US"/>
    </w:rPr>
  </w:style>
  <w:style w:type="paragraph" w:styleId="Heading7">
    <w:name w:val="heading 7"/>
    <w:basedOn w:val="Normal"/>
    <w:next w:val="Normal"/>
    <w:link w:val="Heading7Char"/>
    <w:qFormat/>
    <w:rsid w:val="00F14FF3"/>
    <w:pPr>
      <w:keepNext/>
      <w:numPr>
        <w:ilvl w:val="6"/>
        <w:numId w:val="1"/>
      </w:numPr>
      <w:outlineLvl w:val="6"/>
    </w:pPr>
    <w:rPr>
      <w:i/>
      <w:iCs/>
    </w:rPr>
  </w:style>
  <w:style w:type="paragraph" w:styleId="Heading8">
    <w:name w:val="heading 8"/>
    <w:basedOn w:val="Normal"/>
    <w:next w:val="Normal"/>
    <w:link w:val="Heading8Char"/>
    <w:qFormat/>
    <w:rsid w:val="00F14FF3"/>
    <w:pPr>
      <w:keepNext/>
      <w:numPr>
        <w:ilvl w:val="7"/>
        <w:numId w:val="1"/>
      </w:numPr>
      <w:jc w:val="both"/>
      <w:outlineLvl w:val="7"/>
    </w:pPr>
    <w:rPr>
      <w:b/>
      <w:bCs/>
    </w:rPr>
  </w:style>
  <w:style w:type="paragraph" w:styleId="Heading9">
    <w:name w:val="heading 9"/>
    <w:basedOn w:val="Normal"/>
    <w:next w:val="Normal"/>
    <w:link w:val="Heading9Char"/>
    <w:qFormat/>
    <w:rsid w:val="00F14FF3"/>
    <w:pPr>
      <w:keepNext/>
      <w:numPr>
        <w:ilvl w:val="8"/>
        <w:numId w:val="1"/>
      </w:numPr>
      <w:jc w:val="both"/>
      <w:outlineLvl w:val="8"/>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4FF3"/>
    <w:rPr>
      <w:rFonts w:ascii="Arial" w:eastAsia="Times New Roman" w:hAnsi="Arial" w:cs="Arial"/>
      <w:b/>
      <w:bCs/>
      <w:kern w:val="28"/>
      <w:sz w:val="28"/>
      <w:szCs w:val="32"/>
      <w:lang w:eastAsia="en-GB"/>
    </w:rPr>
  </w:style>
  <w:style w:type="character" w:customStyle="1" w:styleId="Heading2Char">
    <w:name w:val="Heading 2 Char"/>
    <w:basedOn w:val="DefaultParagraphFont"/>
    <w:link w:val="Heading2"/>
    <w:rsid w:val="00F14FF3"/>
    <w:rPr>
      <w:rFonts w:ascii="Arial" w:eastAsia="Times New Roman" w:hAnsi="Arial" w:cs="Arial"/>
      <w:b/>
      <w:bCs/>
      <w:sz w:val="24"/>
      <w:szCs w:val="28"/>
      <w:lang w:eastAsia="en-GB"/>
    </w:rPr>
  </w:style>
  <w:style w:type="character" w:customStyle="1" w:styleId="Heading3Char">
    <w:name w:val="Heading 3 Char"/>
    <w:basedOn w:val="DefaultParagraphFont"/>
    <w:link w:val="Heading3"/>
    <w:rsid w:val="00F14FF3"/>
    <w:rPr>
      <w:rFonts w:ascii="Arial" w:eastAsia="Times New Roman" w:hAnsi="Arial" w:cs="Arial"/>
      <w:b/>
      <w:bCs/>
      <w:sz w:val="20"/>
      <w:szCs w:val="24"/>
      <w:lang w:eastAsia="en-GB"/>
    </w:rPr>
  </w:style>
  <w:style w:type="character" w:customStyle="1" w:styleId="Heading5Char">
    <w:name w:val="Heading 5 Char"/>
    <w:basedOn w:val="DefaultParagraphFont"/>
    <w:link w:val="Heading5"/>
    <w:rsid w:val="00F14FF3"/>
    <w:rPr>
      <w:rFonts w:ascii="Arial" w:eastAsia="Times New Roman" w:hAnsi="Arial" w:cs="Arial"/>
      <w:b/>
      <w:bCs/>
      <w:sz w:val="28"/>
      <w:szCs w:val="28"/>
      <w:lang w:val="en-US" w:eastAsia="en-GB"/>
    </w:rPr>
  </w:style>
  <w:style w:type="character" w:customStyle="1" w:styleId="Heading6Char">
    <w:name w:val="Heading 6 Char"/>
    <w:basedOn w:val="DefaultParagraphFont"/>
    <w:link w:val="Heading6"/>
    <w:rsid w:val="00F14FF3"/>
    <w:rPr>
      <w:rFonts w:ascii="Arial" w:eastAsia="Times New Roman" w:hAnsi="Arial" w:cs="Arial"/>
      <w:b/>
      <w:bCs/>
      <w:caps/>
      <w:sz w:val="40"/>
      <w:szCs w:val="40"/>
      <w:lang w:val="en-US" w:eastAsia="en-GB"/>
    </w:rPr>
  </w:style>
  <w:style w:type="character" w:customStyle="1" w:styleId="Heading7Char">
    <w:name w:val="Heading 7 Char"/>
    <w:basedOn w:val="DefaultParagraphFont"/>
    <w:link w:val="Heading7"/>
    <w:rsid w:val="00F14FF3"/>
    <w:rPr>
      <w:rFonts w:ascii="Arial" w:eastAsia="Times New Roman" w:hAnsi="Arial" w:cs="Arial"/>
      <w:i/>
      <w:iCs/>
      <w:sz w:val="20"/>
      <w:szCs w:val="24"/>
      <w:lang w:eastAsia="en-GB"/>
    </w:rPr>
  </w:style>
  <w:style w:type="character" w:customStyle="1" w:styleId="Heading8Char">
    <w:name w:val="Heading 8 Char"/>
    <w:basedOn w:val="DefaultParagraphFont"/>
    <w:link w:val="Heading8"/>
    <w:rsid w:val="00F14FF3"/>
    <w:rPr>
      <w:rFonts w:ascii="Arial" w:eastAsia="Times New Roman" w:hAnsi="Arial" w:cs="Arial"/>
      <w:b/>
      <w:bCs/>
      <w:sz w:val="20"/>
      <w:szCs w:val="24"/>
      <w:lang w:eastAsia="en-GB"/>
    </w:rPr>
  </w:style>
  <w:style w:type="character" w:customStyle="1" w:styleId="Heading9Char">
    <w:name w:val="Heading 9 Char"/>
    <w:basedOn w:val="DefaultParagraphFont"/>
    <w:link w:val="Heading9"/>
    <w:rsid w:val="00F14FF3"/>
    <w:rPr>
      <w:rFonts w:ascii="Arial" w:eastAsia="Times New Roman" w:hAnsi="Arial" w:cs="Arial"/>
      <w:sz w:val="28"/>
      <w:szCs w:val="28"/>
      <w:lang w:eastAsia="en-GB"/>
    </w:rPr>
  </w:style>
  <w:style w:type="paragraph" w:styleId="ListParagraph">
    <w:name w:val="List Paragraph"/>
    <w:basedOn w:val="Normal"/>
    <w:uiPriority w:val="34"/>
    <w:qFormat/>
    <w:rsid w:val="00F14FF3"/>
    <w:pPr>
      <w:overflowPunct/>
      <w:autoSpaceDE/>
      <w:autoSpaceDN/>
      <w:adjustRightInd/>
      <w:spacing w:after="0"/>
      <w:ind w:left="720"/>
      <w:textAlignment w:val="auto"/>
    </w:pPr>
    <w:rPr>
      <w:rFonts w:ascii="Times New Roman" w:eastAsia="Calibri" w:hAnsi="Times New Roman" w:cs="Times New Roman"/>
      <w:sz w:val="24"/>
    </w:rPr>
  </w:style>
  <w:style w:type="paragraph" w:styleId="Header">
    <w:name w:val="header"/>
    <w:basedOn w:val="Normal"/>
    <w:link w:val="HeaderChar"/>
    <w:uiPriority w:val="99"/>
    <w:unhideWhenUsed/>
    <w:rsid w:val="001E5A79"/>
    <w:pPr>
      <w:tabs>
        <w:tab w:val="center" w:pos="4513"/>
        <w:tab w:val="right" w:pos="9026"/>
      </w:tabs>
      <w:spacing w:after="0"/>
    </w:pPr>
  </w:style>
  <w:style w:type="character" w:customStyle="1" w:styleId="HeaderChar">
    <w:name w:val="Header Char"/>
    <w:basedOn w:val="DefaultParagraphFont"/>
    <w:link w:val="Header"/>
    <w:uiPriority w:val="99"/>
    <w:rsid w:val="001E5A79"/>
    <w:rPr>
      <w:rFonts w:ascii="Arial" w:eastAsia="Times New Roman" w:hAnsi="Arial" w:cs="Arial"/>
      <w:sz w:val="20"/>
      <w:szCs w:val="24"/>
      <w:lang w:eastAsia="en-GB"/>
    </w:rPr>
  </w:style>
  <w:style w:type="paragraph" w:styleId="Footer">
    <w:name w:val="footer"/>
    <w:basedOn w:val="Normal"/>
    <w:link w:val="FooterChar"/>
    <w:uiPriority w:val="99"/>
    <w:unhideWhenUsed/>
    <w:rsid w:val="001E5A79"/>
    <w:pPr>
      <w:tabs>
        <w:tab w:val="center" w:pos="4513"/>
        <w:tab w:val="right" w:pos="9026"/>
      </w:tabs>
      <w:spacing w:after="0"/>
    </w:pPr>
  </w:style>
  <w:style w:type="character" w:customStyle="1" w:styleId="FooterChar">
    <w:name w:val="Footer Char"/>
    <w:basedOn w:val="DefaultParagraphFont"/>
    <w:link w:val="Footer"/>
    <w:uiPriority w:val="99"/>
    <w:rsid w:val="001E5A79"/>
    <w:rPr>
      <w:rFonts w:ascii="Arial" w:eastAsia="Times New Roman" w:hAnsi="Arial" w:cs="Arial"/>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1476</Words>
  <Characters>8419</Characters>
  <Application>Microsoft Office Word</Application>
  <DocSecurity>0</DocSecurity>
  <Lines>70</Lines>
  <Paragraphs>19</Paragraphs>
  <ScaleCrop>false</ScaleCrop>
  <Company/>
  <LinksUpToDate>false</LinksUpToDate>
  <CharactersWithSpaces>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Holly Collen</dc:creator>
  <cp:keywords/>
  <dc:description/>
  <cp:lastModifiedBy>John Nixon</cp:lastModifiedBy>
  <cp:revision>2</cp:revision>
  <dcterms:created xsi:type="dcterms:W3CDTF">2021-07-05T13:09:00Z</dcterms:created>
  <dcterms:modified xsi:type="dcterms:W3CDTF">2021-07-06T13:33:00Z</dcterms:modified>
</cp:coreProperties>
</file>